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venir" w:cs="Avenir" w:eastAsia="Avenir" w:hAnsi="Avenir"/>
          <w:b w:val="1"/>
          <w:bCs w:val="1"/>
          <w:smallCaps w:val="1"/>
          <w:color w:val="5cd6e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Avenir" w:cs="Avenir" w:eastAsia="Avenir" w:hAnsi="Avenir"/>
          <w:b w:val="1"/>
          <w:bCs w:val="1"/>
          <w:color w:val="0000ff"/>
          <w:sz w:val="34"/>
          <w:szCs w:val="34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0000ff"/>
          <w:sz w:val="34"/>
          <w:szCs w:val="34"/>
          <w:rtl w:val="0"/>
        </w:rPr>
        <w:t xml:space="preserve">Développement numérique</w:t>
      </w:r>
    </w:p>
    <w:p w:rsidR="00000000" w:rsidDel="00000000" w:rsidP="00000000" w:rsidRDefault="00000000" w:rsidRPr="00000000" w14:paraId="00000003">
      <w:pPr>
        <w:jc w:val="center"/>
        <w:rPr>
          <w:rFonts w:ascii="Avenir" w:cs="Avenir" w:eastAsia="Avenir" w:hAnsi="Avenir"/>
          <w:b w:val="1"/>
          <w:bCs w:val="1"/>
          <w:color w:val="1155c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venir" w:cs="Avenir" w:eastAsia="Avenir" w:hAnsi="Avenir"/>
          <w:b w:val="1"/>
          <w:bCs w:val="1"/>
          <w:smallCaps w:val="1"/>
          <w:color w:val="6aa84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Prérequis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Avoir une bonne connaissance du système informatique.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Objectifs de la formation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48833856"/>
        <w:tag w:val="goog_rdk_0"/>
      </w:sdtPr>
      <w:sdtContent>
        <w:tbl>
          <w:tblPr>
            <w:tblStyle w:val="Table1"/>
            <w:tblW w:w="7974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7974"/>
            <w:tblGridChange w:id="0">
              <w:tblGrid>
                <w:gridCol w:w="7974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A">
                <w:pPr>
                  <w:widowControl w:val="1"/>
                  <w:numPr>
                    <w:ilvl w:val="0"/>
                    <w:numId w:val="8"/>
                  </w:numPr>
                  <w:spacing w:after="0" w:afterAutospacing="0" w:before="220" w:line="276" w:lineRule="auto"/>
                  <w:ind w:left="720" w:hanging="360"/>
                  <w:rPr>
                    <w:rFonts w:ascii="Avenir" w:cs="Avenir" w:eastAsia="Avenir" w:hAnsi="Avenir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sz w:val="24"/>
                    <w:szCs w:val="24"/>
                    <w:rtl w:val="0"/>
                  </w:rPr>
                  <w:t xml:space="preserve">Construire une campagne SEA </w:t>
                </w:r>
              </w:p>
              <w:p w:rsidR="00000000" w:rsidDel="00000000" w:rsidP="00000000" w:rsidRDefault="00000000" w:rsidRPr="00000000" w14:paraId="0000000B">
                <w:pPr>
                  <w:widowControl w:val="1"/>
                  <w:numPr>
                    <w:ilvl w:val="0"/>
                    <w:numId w:val="8"/>
                  </w:numPr>
                  <w:spacing w:after="220" w:before="0" w:beforeAutospacing="0" w:line="276" w:lineRule="auto"/>
                  <w:ind w:left="720" w:hanging="360"/>
                  <w:rPr>
                    <w:rFonts w:ascii="Avenir" w:cs="Avenir" w:eastAsia="Avenir" w:hAnsi="Avenir"/>
                    <w:sz w:val="24"/>
                    <w:szCs w:val="24"/>
                    <w:u w:val="none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sz w:val="24"/>
                    <w:szCs w:val="24"/>
                    <w:rtl w:val="0"/>
                  </w:rPr>
                  <w:t xml:space="preserve">Gérer et optimiser vos campagnes media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C">
                <w:pPr>
                  <w:widowControl w:val="1"/>
                  <w:numPr>
                    <w:ilvl w:val="0"/>
                    <w:numId w:val="9"/>
                  </w:numPr>
                  <w:spacing w:after="220" w:before="220" w:line="276" w:lineRule="auto"/>
                  <w:ind w:left="720" w:hanging="360"/>
                  <w:rPr>
                    <w:rFonts w:ascii="Avenir" w:cs="Avenir" w:eastAsia="Avenir" w:hAnsi="Avenir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venir" w:cs="Avenir" w:eastAsia="Avenir" w:hAnsi="Avenir"/>
                    <w:sz w:val="24"/>
                    <w:szCs w:val="24"/>
                    <w:rtl w:val="0"/>
                  </w:rPr>
                  <w:t xml:space="preserve">Définir les KPIS à suivre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Résultats attendus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À la fin de la formation, les participants seront capables de 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Déployer une stratégie SEO opérationnelle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 incluant l’audit, le choix des mots-clés, l’optimisation technique et la création de contenus pertinents.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Créer et paramétrer une campagne SEA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(Google Ads ou Meta Ads selon le contexte), gérer les audiences, rédiger des annonces impactantes et optimiser les investissements publicitaires.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Mettre en place un tableau de pilotage clair</w:t>
      </w:r>
      <w:r w:rsidDel="00000000" w:rsidR="00000000" w:rsidRPr="00000000">
        <w:rPr>
          <w:rFonts w:ascii="Avenir" w:cs="Avenir" w:eastAsia="Avenir" w:hAnsi="Avenir"/>
          <w:rtl w:val="0"/>
        </w:rPr>
        <w:t xml:space="preserve">, basé sur les bons indicateurs, pour analyser leurs performances digitales, ajuster les actions et améliorer continuellement les résultats.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Tarif de la formation</w:t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280 HT/ stagiaire</w:t>
      </w:r>
    </w:p>
    <w:p w:rsidR="00000000" w:rsidDel="00000000" w:rsidP="00000000" w:rsidRDefault="00000000" w:rsidRPr="00000000" w14:paraId="00000016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Durée et rythme de la formation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1 jour/ 7h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Modalités de déroulement de la formation</w:t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Formation présentielle en INTRA dans une salle proposée par TUBE2COM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Moyens pédagogiques et techniques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Documents supports de formation partagés à l’écran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Etude de cas concrets avec mise en pratique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Mise à disposition en ligne de documents supports à la suite de la formation.</w:t>
      </w:r>
    </w:p>
    <w:p w:rsidR="00000000" w:rsidDel="00000000" w:rsidP="00000000" w:rsidRDefault="00000000" w:rsidRPr="00000000" w14:paraId="00000021">
      <w:pPr>
        <w:rPr>
          <w:rFonts w:ascii="Avenir" w:cs="Avenir" w:eastAsia="Avenir" w:hAnsi="Avenir"/>
          <w:b w:val="1"/>
          <w:bCs w:val="1"/>
          <w:color w:val="8064a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Modalités d'évaluation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 exercices sont proposés durant la formation afin d’évaluer la compréhension et l’atteinte des objectifs de la formation par le stagiaire.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Une attestation de formation ainsi qu’un certificat de réalisation seront délivrés au stagiaire en fin de formation.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stagiaire sera invité à compléter un questionnaire d’évaluation à chaud de la formation</w:t>
      </w:r>
      <w:r w:rsidDel="00000000" w:rsidR="00000000" w:rsidRPr="00000000">
        <w:rPr>
          <w:rFonts w:ascii="Avenir" w:cs="Avenir" w:eastAsia="Avenir" w:hAnsi="Avenir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venir" w:cs="Avenir" w:eastAsia="Avenir" w:hAnsi="Avenir"/>
          <w:b w:val="1"/>
          <w:bCs w:val="1"/>
          <w:color w:val="99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Modalités et délais d’accès à la formation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Un premier entretien téléphonique nous permettra de définir ensemble comment répondre au mieux à vos besoins et attentes. Nous validerons également ensemble les prérequis de statut, techniques et logistiques.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La date de la formation sera alors programmée, selon vos préférences et les disponibilités du formateur. (Min. deux semaines après la signature de la convention de formation).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Contenu de la formation</w:t>
      </w:r>
    </w:p>
    <w:p w:rsidR="00000000" w:rsidDel="00000000" w:rsidP="00000000" w:rsidRDefault="00000000" w:rsidRPr="00000000" w14:paraId="0000002C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00" w:lineRule="auto"/>
        <w:ind w:left="72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Module 1: Introduction et Bases du SEA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200" w:lineRule="auto"/>
        <w:ind w:left="9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Recherche de Mots-Clés et Ciblage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00" w:before="0" w:beforeAutospacing="0" w:lineRule="auto"/>
        <w:ind w:left="9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Types de campagnes : Search, Display, Shopping, Video, Performance Max</w:t>
      </w:r>
    </w:p>
    <w:p w:rsidR="00000000" w:rsidDel="00000000" w:rsidP="00000000" w:rsidRDefault="00000000" w:rsidRPr="00000000" w14:paraId="00000030">
      <w:pPr>
        <w:shd w:fill="ffffff" w:val="clear"/>
        <w:spacing w:after="200" w:lineRule="auto"/>
        <w:ind w:left="720" w:firstLine="0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00" w:lineRule="auto"/>
        <w:ind w:left="72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Module 2 Paramètres de campagne : budget, enchères, ciblage géographique et démographique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200" w:lineRule="auto"/>
        <w:ind w:left="9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Structuration des groupes d’annonces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9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Création et Optimisation des Annonces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 w:lineRule="auto"/>
        <w:ind w:left="9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Rédaction d’Annonces SEA Performantes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beforeAutospacing="0" w:lineRule="auto"/>
        <w:ind w:left="9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Rédaction d’annonces textuelles : titres, descriptions, URL affichées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0" w:beforeAutospacing="0" w:lineRule="auto"/>
        <w:ind w:left="9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Utilisation des extensions d’annonces (sitelinks, callouts, promotions)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200" w:before="0" w:beforeAutospacing="0" w:lineRule="auto"/>
        <w:ind w:left="940" w:hanging="360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Bonnes pratiques d’appel à l’action (CTA)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" w:firstLine="0"/>
        <w:rPr>
          <w:rFonts w:ascii="Avenir" w:cs="Avenir" w:eastAsia="Avenir" w:hAnsi="Avenir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Accessibilité pour les personnes en situation de handicap</w:t>
      </w:r>
    </w:p>
    <w:p w:rsidR="00000000" w:rsidDel="00000000" w:rsidP="00000000" w:rsidRDefault="00000000" w:rsidRPr="00000000" w14:paraId="0000003C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Si vous êtes en situation de handicap, merci de bien vouloir nous l’indiquer afin que nous adaptions ensemble votre parcours de formation.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color w:val="404040"/>
          <w:sz w:val="24"/>
          <w:szCs w:val="24"/>
          <w:u w:val="single"/>
          <w:rtl w:val="0"/>
        </w:rPr>
        <w:t xml:space="preserve">Inscription &amp; Contact </w:t>
      </w:r>
    </w:p>
    <w:p w:rsidR="00000000" w:rsidDel="00000000" w:rsidP="00000000" w:rsidRDefault="00000000" w:rsidRPr="00000000" w14:paraId="0000003F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Thomas PICOS - 07 66 50 84 91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4999038</wp:posOffset>
                </wp:positionH>
                <wp:positionV relativeFrom="paragraph">
                  <wp:posOffset>548958</wp:posOffset>
                </wp:positionV>
                <wp:extent cx="1381125" cy="1447800"/>
                <wp:effectExtent b="0" l="0" r="0" t="0"/>
                <wp:wrapSquare wrapText="bothSides" distB="45720" distT="45720" distL="114300" distR="114300"/>
                <wp:docPr id="2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79250" y="3077690"/>
                          <a:ext cx="133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4999038</wp:posOffset>
                </wp:positionH>
                <wp:positionV relativeFrom="paragraph">
                  <wp:posOffset>548958</wp:posOffset>
                </wp:positionV>
                <wp:extent cx="1381125" cy="1447800"/>
                <wp:effectExtent b="0" l="0" r="0" t="0"/>
                <wp:wrapSquare wrapText="bothSides" distB="45720" distT="45720" distL="114300" distR="114300"/>
                <wp:docPr id="2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1447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34" w:w="11909" w:orient="portrait"/>
      <w:pgMar w:bottom="1134" w:top="1440" w:left="993" w:right="852" w:header="284" w:footer="2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Azo Sans Tn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993" w:right="0" w:firstLine="0"/>
      <w:jc w:val="center"/>
      <w:rPr>
        <w:rFonts w:ascii="Azo Sans Tn" w:cs="Azo Sans Tn" w:eastAsia="Azo Sans Tn" w:hAnsi="Azo Sans Tn"/>
        <w:b w:val="0"/>
        <w:bCs w:val="0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Azo Sans Tn" w:cs="Azo Sans Tn" w:eastAsia="Azo Sans Tn" w:hAnsi="Azo Sans Tn"/>
        <w:b w:val="0"/>
        <w:bCs w:val="0"/>
        <w:i w:val="0"/>
        <w:iCs w:val="0"/>
        <w:smallCaps w:val="0"/>
        <w:strike w:val="0"/>
        <w:color w:val="767171"/>
        <w:sz w:val="18"/>
        <w:szCs w:val="18"/>
        <w:u w:val="none"/>
        <w:shd w:fill="auto" w:val="clear"/>
        <w:vertAlign w:val="baseline"/>
        <w:rtl w:val="0"/>
      </w:rPr>
      <w:t xml:space="preserve">            </w:t>
    </w:r>
    <w:r w:rsidDel="00000000" w:rsidR="00000000" w:rsidRPr="00000000">
      <w:rPr>
        <w:rFonts w:ascii="Azo Sans Tn" w:cs="Azo Sans Tn" w:eastAsia="Azo Sans Tn" w:hAnsi="Azo Sans Tn"/>
        <w:color w:val="767171"/>
        <w:sz w:val="18"/>
        <w:szCs w:val="18"/>
        <w:rtl w:val="0"/>
      </w:rPr>
      <w:t xml:space="preserve">TUBE2COM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64833" cy="511402"/>
          <wp:effectExtent b="0" l="0" r="0" t="0"/>
          <wp:docPr id="2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4833" cy="5114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E17E3B"/>
    <w:pPr>
      <w:tabs>
        <w:tab w:val="center" w:pos="4536"/>
        <w:tab w:val="right" w:pos="9072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17E3B"/>
  </w:style>
  <w:style w:type="paragraph" w:styleId="Pieddepage">
    <w:name w:val="footer"/>
    <w:basedOn w:val="Normal"/>
    <w:link w:val="PieddepageCar"/>
    <w:uiPriority w:val="99"/>
    <w:unhideWhenUsed w:val="1"/>
    <w:rsid w:val="00E17E3B"/>
    <w:pPr>
      <w:tabs>
        <w:tab w:val="center" w:pos="4536"/>
        <w:tab w:val="right" w:pos="9072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17E3B"/>
  </w:style>
  <w:style w:type="paragraph" w:styleId="Paragraphedeliste">
    <w:name w:val="List Paragraph"/>
    <w:basedOn w:val="Normal"/>
    <w:uiPriority w:val="34"/>
    <w:qFormat w:val="1"/>
    <w:rsid w:val="008116E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Va5lDI4L6ANR4WtacAj4W5RTkw==">CgMxLjAaHwoBMBIaChgICVIUChJ0YWJsZS5vbGx3bmYyaTF2dWIyCGguZ2pkZ3hzOAByITF4VjRDZHAzRUlSTVFwYlZicmluYTZRR2ZXZ0taaEdyTA==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2022-07-21T13:59:00Z</dcterms:created>
  <dc:creator>Alexa ROUSSEAU</dc:creator>
</cp:coreProperties>
</file>